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FD06" w14:textId="1E2A8C9E" w:rsidR="00421B4E" w:rsidRDefault="00421B4E" w:rsidP="00421B4E">
      <w:pPr>
        <w:pStyle w:val="xmsonormal"/>
        <w:shd w:val="clear" w:color="auto" w:fill="FFFFFF"/>
        <w:spacing w:before="0" w:beforeAutospacing="0" w:after="0" w:afterAutospacing="0"/>
        <w:contextualSpacing/>
        <w:jc w:val="center"/>
        <w:rPr>
          <w:rFonts w:ascii="Arial Narrow" w:hAnsi="Arial Narrow" w:cs="Calibri"/>
          <w:b/>
          <w:bCs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>Popis – Likvidná medzera (Aktivita F2 Rozvody)</w:t>
      </w:r>
    </w:p>
    <w:p w14:paraId="4992783A" w14:textId="77777777" w:rsidR="00421B4E" w:rsidRDefault="00421B4E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b/>
          <w:bCs/>
          <w:color w:val="000000"/>
        </w:rPr>
      </w:pPr>
    </w:p>
    <w:p w14:paraId="70050AD8" w14:textId="4268CD22" w:rsidR="00623C6F" w:rsidRPr="00DC24AB" w:rsidRDefault="00623C6F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b/>
          <w:bCs/>
          <w:color w:val="000000"/>
        </w:rPr>
      </w:pPr>
      <w:r w:rsidRPr="00DC24AB">
        <w:rPr>
          <w:rFonts w:ascii="Arial Narrow" w:hAnsi="Arial Narrow" w:cs="Calibri"/>
          <w:b/>
          <w:bCs/>
          <w:color w:val="000000"/>
        </w:rPr>
        <w:t xml:space="preserve">Na určenie </w:t>
      </w:r>
      <w:r w:rsidR="009A6145" w:rsidRPr="00DC24AB">
        <w:rPr>
          <w:rFonts w:ascii="Arial Narrow" w:hAnsi="Arial Narrow" w:cs="Calibri"/>
          <w:b/>
          <w:bCs/>
          <w:color w:val="000000"/>
        </w:rPr>
        <w:t xml:space="preserve">výšky </w:t>
      </w:r>
      <w:r w:rsidRPr="00DC24AB">
        <w:rPr>
          <w:rFonts w:ascii="Arial Narrow" w:hAnsi="Arial Narrow" w:cs="Calibri"/>
          <w:b/>
          <w:bCs/>
          <w:color w:val="000000"/>
        </w:rPr>
        <w:t xml:space="preserve">dotácie je </w:t>
      </w:r>
      <w:r w:rsidR="009A6145" w:rsidRPr="00DC24AB">
        <w:rPr>
          <w:rFonts w:ascii="Arial Narrow" w:hAnsi="Arial Narrow" w:cs="Calibri"/>
          <w:b/>
          <w:bCs/>
          <w:color w:val="000000"/>
        </w:rPr>
        <w:t xml:space="preserve">možné použiť aj </w:t>
      </w:r>
      <w:r w:rsidRPr="00DC24AB">
        <w:rPr>
          <w:rFonts w:ascii="Arial Narrow" w:hAnsi="Arial Narrow" w:cs="Calibri"/>
          <w:b/>
          <w:bCs/>
          <w:color w:val="000000"/>
        </w:rPr>
        <w:t xml:space="preserve">tzv. likvidnú medzeru. </w:t>
      </w:r>
    </w:p>
    <w:p w14:paraId="04A08871" w14:textId="77777777" w:rsidR="009A6145" w:rsidRPr="00DC24AB" w:rsidRDefault="009A6145" w:rsidP="00DC24AB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Calibri"/>
          <w:b/>
          <w:bCs/>
          <w:color w:val="000000"/>
        </w:rPr>
      </w:pPr>
    </w:p>
    <w:p w14:paraId="5570EB0D" w14:textId="5C4658DA" w:rsidR="009A6145" w:rsidRPr="00DC24AB" w:rsidRDefault="009A6145" w:rsidP="00DC24AB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Calibri"/>
          <w:color w:val="000000"/>
        </w:rPr>
      </w:pPr>
      <w:r w:rsidRPr="00DC24AB">
        <w:rPr>
          <w:rFonts w:ascii="Arial Narrow" w:hAnsi="Arial Narrow" w:cs="Calibri"/>
          <w:color w:val="000000"/>
        </w:rPr>
        <w:t>„Likvidná medzera“ sú čisté dodatočné náklady určené na základe rozdielu medzi hospodárskymi príjmami a nákladmi (vrátane investícií a prevádzky) podporeného projektu a hospodárskymi príjmami a nákladmi alternatívneho projektu, ktorý by príjemca pomoci vierohodne uskutočnil v prípade neposkytnutia pomoci.</w:t>
      </w:r>
    </w:p>
    <w:p w14:paraId="693A0D42" w14:textId="77777777" w:rsidR="009A6145" w:rsidRPr="00DC24AB" w:rsidRDefault="009A6145" w:rsidP="00DC24AB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Calibri"/>
          <w:b/>
          <w:bCs/>
          <w:color w:val="000000"/>
        </w:rPr>
      </w:pPr>
    </w:p>
    <w:p w14:paraId="331CF059" w14:textId="67F626C4" w:rsidR="00623C6F" w:rsidRPr="00DC24AB" w:rsidRDefault="00623C6F" w:rsidP="00DC24AB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Calibri"/>
          <w:color w:val="000000"/>
        </w:rPr>
      </w:pPr>
      <w:r w:rsidRPr="00DC24AB">
        <w:rPr>
          <w:rFonts w:ascii="Arial Narrow" w:hAnsi="Arial Narrow" w:cs="Calibri"/>
          <w:color w:val="000000"/>
        </w:rPr>
        <w:t xml:space="preserve">Typické čisté dodatočné náklady možno odhadnúť ako rozdiel medzi čistou súčasnou hodnotou (NPV) pre vecný scenár (projektový scenár) a pre </w:t>
      </w:r>
      <w:proofErr w:type="spellStart"/>
      <w:r w:rsidRPr="00DC24AB">
        <w:rPr>
          <w:rFonts w:ascii="Arial Narrow" w:hAnsi="Arial Narrow" w:cs="Calibri"/>
          <w:color w:val="000000"/>
        </w:rPr>
        <w:t>kontrafaktuálny</w:t>
      </w:r>
      <w:proofErr w:type="spellEnd"/>
      <w:r w:rsidRPr="00DC24AB">
        <w:rPr>
          <w:rFonts w:ascii="Arial Narrow" w:hAnsi="Arial Narrow" w:cs="Calibri"/>
          <w:color w:val="000000"/>
        </w:rPr>
        <w:t xml:space="preserve"> scenár počas životnosti referenčného projektu.</w:t>
      </w:r>
    </w:p>
    <w:p w14:paraId="62C44708" w14:textId="77777777" w:rsidR="00623C6F" w:rsidRPr="00DC24AB" w:rsidRDefault="00623C6F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color w:val="000000"/>
        </w:rPr>
      </w:pPr>
    </w:p>
    <w:p w14:paraId="3F8E2932" w14:textId="2A6763C5" w:rsidR="00C90F2A" w:rsidRPr="00DC24AB" w:rsidRDefault="009A6145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b/>
          <w:bCs/>
          <w:color w:val="000000"/>
        </w:rPr>
      </w:pPr>
      <w:r w:rsidRPr="00DC24AB">
        <w:rPr>
          <w:rFonts w:ascii="Arial Narrow" w:hAnsi="Arial Narrow" w:cs="Calibri"/>
          <w:b/>
          <w:bCs/>
          <w:color w:val="000000"/>
        </w:rPr>
        <w:t>Projektový scenár</w:t>
      </w:r>
      <w:r w:rsidR="00C90F2A" w:rsidRPr="00DC24AB">
        <w:rPr>
          <w:rFonts w:ascii="Arial Narrow" w:hAnsi="Arial Narrow" w:cs="Calibri"/>
          <w:b/>
          <w:bCs/>
          <w:color w:val="000000"/>
        </w:rPr>
        <w:t>:</w:t>
      </w:r>
    </w:p>
    <w:p w14:paraId="542CFFEF" w14:textId="77777777" w:rsidR="00C90F2A" w:rsidRPr="00DC24AB" w:rsidRDefault="00C90F2A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b/>
          <w:bCs/>
          <w:color w:val="000000"/>
        </w:rPr>
      </w:pPr>
    </w:p>
    <w:p w14:paraId="35294B34" w14:textId="0E5437F0" w:rsidR="00C90F2A" w:rsidRPr="00DC24AB" w:rsidRDefault="00C90F2A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color w:val="000000"/>
        </w:rPr>
      </w:pPr>
      <w:r w:rsidRPr="00DC24AB">
        <w:rPr>
          <w:rFonts w:ascii="Arial Narrow" w:hAnsi="Arial Narrow" w:cs="Calibri"/>
          <w:color w:val="000000"/>
        </w:rPr>
        <w:t xml:space="preserve">Na výpočet čistej súčasnej hodnoty </w:t>
      </w:r>
      <w:r w:rsidR="00D43116" w:rsidRPr="00DC24AB">
        <w:rPr>
          <w:rFonts w:ascii="Arial Narrow" w:hAnsi="Arial Narrow" w:cs="Calibri"/>
          <w:color w:val="000000"/>
        </w:rPr>
        <w:t xml:space="preserve">počas doby životnosti (20 rokov) </w:t>
      </w:r>
      <w:r w:rsidRPr="00DC24AB">
        <w:rPr>
          <w:rFonts w:ascii="Arial Narrow" w:hAnsi="Arial Narrow" w:cs="Calibri"/>
          <w:color w:val="000000"/>
        </w:rPr>
        <w:t>sa použijú nasledujúce položky:</w:t>
      </w:r>
    </w:p>
    <w:p w14:paraId="422557BB" w14:textId="77777777" w:rsidR="00C90F2A" w:rsidRPr="00DC24AB" w:rsidRDefault="00C90F2A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90F2A" w:rsidRPr="00DC24AB" w14:paraId="5E815D92" w14:textId="77777777" w:rsidTr="00C90F2A">
        <w:tc>
          <w:tcPr>
            <w:tcW w:w="2547" w:type="dxa"/>
          </w:tcPr>
          <w:p w14:paraId="6B258157" w14:textId="7E14C8DA" w:rsidR="00C90F2A" w:rsidRPr="00DC24AB" w:rsidRDefault="00A96045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Investičné náklady</w:t>
            </w:r>
          </w:p>
        </w:tc>
        <w:tc>
          <w:tcPr>
            <w:tcW w:w="6515" w:type="dxa"/>
          </w:tcPr>
          <w:p w14:paraId="18DFD880" w14:textId="625AC023" w:rsidR="00C90F2A" w:rsidRPr="00DC24AB" w:rsidRDefault="00C90F2A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 xml:space="preserve">Uvedú sa celkové investičné náklady projektu, ktoré budú vynaložené po podaní žiadosti o poskytnutie dotácie (náklady na vypracovanie dokumentácie </w:t>
            </w:r>
            <w:r w:rsidR="00C13F40" w:rsidRPr="00DC24AB">
              <w:rPr>
                <w:rFonts w:ascii="Arial Narrow" w:hAnsi="Arial Narrow" w:cs="Calibri"/>
                <w:color w:val="000000"/>
              </w:rPr>
              <w:t xml:space="preserve">pred podaním žiadosti </w:t>
            </w:r>
            <w:r w:rsidRPr="00DC24AB">
              <w:rPr>
                <w:rFonts w:ascii="Arial Narrow" w:hAnsi="Arial Narrow" w:cs="Calibri"/>
                <w:color w:val="000000"/>
              </w:rPr>
              <w:t>sa neuvádzajú</w:t>
            </w:r>
            <w:r w:rsidR="00C13F40" w:rsidRPr="00DC24AB">
              <w:rPr>
                <w:rFonts w:ascii="Arial Narrow" w:hAnsi="Arial Narrow" w:cs="Calibri"/>
                <w:color w:val="000000"/>
              </w:rPr>
              <w:t>)</w:t>
            </w:r>
            <w:r w:rsidRPr="00DC24AB">
              <w:rPr>
                <w:rFonts w:ascii="Arial Narrow" w:hAnsi="Arial Narrow" w:cs="Calibri"/>
                <w:color w:val="000000"/>
              </w:rPr>
              <w:t>.</w:t>
            </w:r>
          </w:p>
        </w:tc>
      </w:tr>
      <w:tr w:rsidR="00C90F2A" w:rsidRPr="00DC24AB" w14:paraId="3C5C5737" w14:textId="77777777" w:rsidTr="00C90F2A">
        <w:tc>
          <w:tcPr>
            <w:tcW w:w="2547" w:type="dxa"/>
          </w:tcPr>
          <w:p w14:paraId="23EF9749" w14:textId="7E433486" w:rsidR="00C90F2A" w:rsidRPr="00DC24AB" w:rsidRDefault="00C90F2A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Náklady na nákup tepla</w:t>
            </w:r>
          </w:p>
        </w:tc>
        <w:tc>
          <w:tcPr>
            <w:tcW w:w="6515" w:type="dxa"/>
          </w:tcPr>
          <w:p w14:paraId="398B9EEA" w14:textId="23D44C77" w:rsidR="00C90F2A" w:rsidRPr="00DC24AB" w:rsidRDefault="00C90F2A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 xml:space="preserve">Uvedú sa celkové náklady na nákup tepla (v prípade, ak je žiadateľ výrobcom tepla, uvedú sa výrobné náklady). Pri </w:t>
            </w:r>
            <w:r w:rsidR="00A96045" w:rsidRPr="00DC24AB">
              <w:rPr>
                <w:rFonts w:ascii="Arial Narrow" w:hAnsi="Arial Narrow" w:cs="Calibri"/>
                <w:color w:val="000000"/>
              </w:rPr>
              <w:t>množstve nakúpeného tepla sa zohľadnia úspory, ktoré vzniknú realizáciou projektu.</w:t>
            </w:r>
          </w:p>
        </w:tc>
      </w:tr>
      <w:tr w:rsidR="00C90F2A" w:rsidRPr="00DC24AB" w14:paraId="0A55F914" w14:textId="77777777" w:rsidTr="00C90F2A">
        <w:tc>
          <w:tcPr>
            <w:tcW w:w="2547" w:type="dxa"/>
          </w:tcPr>
          <w:p w14:paraId="3D8ABB83" w14:textId="62839CC8" w:rsidR="00C90F2A" w:rsidRPr="00DC24AB" w:rsidRDefault="00C90F2A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Výnosy z predaja tepla</w:t>
            </w:r>
          </w:p>
        </w:tc>
        <w:tc>
          <w:tcPr>
            <w:tcW w:w="6515" w:type="dxa"/>
          </w:tcPr>
          <w:p w14:paraId="0E4864F6" w14:textId="2B3D7438" w:rsidR="00C90F2A" w:rsidRPr="00DC24AB" w:rsidRDefault="00A96045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celkové výnosy z predaja tepla (so záporným znamienkom). Množstvo predaného tepla sa určí podľa zmlúv o dodávke tepla alebo ako priemer predchádzajúcich troch kalendárnych rokov pred podaním žiadosti. Pri určení ceny tepla sa zohľadní realizácia investície a primeraný zisk v zmysle všeobecne záväzných právnych predpisov.</w:t>
            </w:r>
          </w:p>
        </w:tc>
      </w:tr>
      <w:tr w:rsidR="00C90F2A" w:rsidRPr="00DC24AB" w14:paraId="5D280A90" w14:textId="77777777" w:rsidTr="00C90F2A">
        <w:tc>
          <w:tcPr>
            <w:tcW w:w="2547" w:type="dxa"/>
          </w:tcPr>
          <w:p w14:paraId="1F41213A" w14:textId="7E494BED" w:rsidR="00C90F2A" w:rsidRPr="00DC24AB" w:rsidRDefault="00567415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M</w:t>
            </w:r>
            <w:r w:rsidR="00A96045" w:rsidRPr="00DC24AB">
              <w:rPr>
                <w:rFonts w:ascii="Arial Narrow" w:hAnsi="Arial Narrow" w:cs="Calibri"/>
                <w:color w:val="000000"/>
              </w:rPr>
              <w:t>zdové a ostatné osobné náklady</w:t>
            </w:r>
          </w:p>
        </w:tc>
        <w:tc>
          <w:tcPr>
            <w:tcW w:w="6515" w:type="dxa"/>
          </w:tcPr>
          <w:p w14:paraId="20A460F3" w14:textId="374A1811" w:rsidR="00C90F2A" w:rsidRPr="00DC24AB" w:rsidRDefault="00A96045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celkové mzdové a ostatné osobné náklady na realizáciu projektu, ktoré nie sú súčasťou investičných nákladov (napríklad zamestnanci, ktorí sa podieľajú na realizácii projektu) a mzdové a ostatné osobné náklady zamestnancov, ktorí sa budú podieľať na prevádzke zariadení, ktoré sú súčasťou projektu a to počas celého obdobia životnosti.</w:t>
            </w:r>
          </w:p>
        </w:tc>
      </w:tr>
      <w:tr w:rsidR="00C90F2A" w:rsidRPr="00DC24AB" w14:paraId="4C408B0B" w14:textId="77777777" w:rsidTr="00C90F2A">
        <w:tc>
          <w:tcPr>
            <w:tcW w:w="2547" w:type="dxa"/>
          </w:tcPr>
          <w:p w14:paraId="642A30AB" w14:textId="7069354C" w:rsidR="00C90F2A" w:rsidRPr="00DC24AB" w:rsidRDefault="00875137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Náklady na opravy</w:t>
            </w:r>
          </w:p>
        </w:tc>
        <w:tc>
          <w:tcPr>
            <w:tcW w:w="6515" w:type="dxa"/>
          </w:tcPr>
          <w:p w14:paraId="419A01B6" w14:textId="287EA885" w:rsidR="00C90F2A" w:rsidRPr="00DC24AB" w:rsidRDefault="00875137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predpokladané náklady na opravy v jednotlivých rokoch. Zohľadní sa výmena komponentov s kratšou životnosťou.</w:t>
            </w:r>
          </w:p>
        </w:tc>
      </w:tr>
      <w:tr w:rsidR="00C90F2A" w:rsidRPr="00DC24AB" w14:paraId="1B08FA82" w14:textId="77777777" w:rsidTr="00C90F2A">
        <w:tc>
          <w:tcPr>
            <w:tcW w:w="2547" w:type="dxa"/>
          </w:tcPr>
          <w:p w14:paraId="6322FC5C" w14:textId="3332849B" w:rsidR="00C90F2A" w:rsidRPr="00DC24AB" w:rsidRDefault="00875137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Náklady na údržbu</w:t>
            </w:r>
          </w:p>
        </w:tc>
        <w:tc>
          <w:tcPr>
            <w:tcW w:w="6515" w:type="dxa"/>
          </w:tcPr>
          <w:p w14:paraId="50384DAE" w14:textId="1EB09AD4" w:rsidR="00C90F2A" w:rsidRPr="00DC24AB" w:rsidRDefault="00875137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predpokladané náklady na údržbu v jednotlivých rokoch.</w:t>
            </w:r>
          </w:p>
        </w:tc>
      </w:tr>
      <w:tr w:rsidR="00875137" w:rsidRPr="00DC24AB" w14:paraId="0044373B" w14:textId="77777777" w:rsidTr="00C90F2A">
        <w:tc>
          <w:tcPr>
            <w:tcW w:w="2547" w:type="dxa"/>
          </w:tcPr>
          <w:p w14:paraId="29E88448" w14:textId="64FFA602" w:rsidR="00875137" w:rsidRPr="00DC24AB" w:rsidRDefault="009C38E0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Náklady na ostatné služby</w:t>
            </w:r>
          </w:p>
        </w:tc>
        <w:tc>
          <w:tcPr>
            <w:tcW w:w="6515" w:type="dxa"/>
          </w:tcPr>
          <w:p w14:paraId="58278C75" w14:textId="0E35C51D" w:rsidR="00875137" w:rsidRPr="00DC24AB" w:rsidRDefault="009C38E0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predpokladané náklady na ostatné služby, ktoré nie sú súčasťou investície, neboli uvedené ako súčasť údržby a súvisia s distribúciou tepla (napríklad revízie, overovanie hospodárnosti..).</w:t>
            </w:r>
          </w:p>
        </w:tc>
      </w:tr>
    </w:tbl>
    <w:p w14:paraId="67758BC4" w14:textId="77777777" w:rsidR="00C90F2A" w:rsidRPr="00DC24AB" w:rsidRDefault="00C90F2A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b/>
          <w:bCs/>
          <w:color w:val="000000"/>
        </w:rPr>
      </w:pPr>
    </w:p>
    <w:p w14:paraId="2A682FB8" w14:textId="29FD04A5" w:rsidR="00D43116" w:rsidRPr="00DC24AB" w:rsidRDefault="00D43116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b/>
          <w:bCs/>
          <w:color w:val="000000"/>
        </w:rPr>
      </w:pPr>
      <w:proofErr w:type="spellStart"/>
      <w:r w:rsidRPr="00DC24AB">
        <w:rPr>
          <w:rFonts w:ascii="Arial Narrow" w:hAnsi="Arial Narrow" w:cs="Calibri"/>
          <w:b/>
          <w:bCs/>
          <w:color w:val="000000"/>
        </w:rPr>
        <w:t>Kontrafaktuálny</w:t>
      </w:r>
      <w:proofErr w:type="spellEnd"/>
      <w:r w:rsidRPr="00DC24AB">
        <w:rPr>
          <w:rFonts w:ascii="Arial Narrow" w:hAnsi="Arial Narrow" w:cs="Calibri"/>
          <w:b/>
          <w:bCs/>
          <w:color w:val="000000"/>
        </w:rPr>
        <w:t xml:space="preserve"> scenár – udržiavanie  pôvodného stavu:</w:t>
      </w:r>
    </w:p>
    <w:p w14:paraId="79FB71F8" w14:textId="77777777" w:rsidR="00D43116" w:rsidRPr="00DC24AB" w:rsidRDefault="00D43116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b/>
          <w:bCs/>
          <w:color w:val="000000"/>
        </w:rPr>
      </w:pPr>
    </w:p>
    <w:p w14:paraId="2BC1714F" w14:textId="77777777" w:rsidR="00D43116" w:rsidRPr="00DC24AB" w:rsidRDefault="00D43116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color w:val="000000"/>
        </w:rPr>
      </w:pPr>
      <w:r w:rsidRPr="00DC24AB">
        <w:rPr>
          <w:rFonts w:ascii="Arial Narrow" w:hAnsi="Arial Narrow" w:cs="Calibri"/>
          <w:color w:val="000000"/>
        </w:rPr>
        <w:t>Na výpočet čistej súčasnej hodnoty počas doby životnosti (20 rokov) sa použijú nasledujúce položky:</w:t>
      </w:r>
    </w:p>
    <w:p w14:paraId="23CB4E5D" w14:textId="77777777" w:rsidR="00D43116" w:rsidRPr="00DC24AB" w:rsidRDefault="00D43116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3116" w:rsidRPr="00DC24AB" w14:paraId="771A2A56" w14:textId="77777777" w:rsidTr="00375A13">
        <w:tc>
          <w:tcPr>
            <w:tcW w:w="2547" w:type="dxa"/>
          </w:tcPr>
          <w:p w14:paraId="4989FCC8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Investičné náklady</w:t>
            </w:r>
          </w:p>
        </w:tc>
        <w:tc>
          <w:tcPr>
            <w:tcW w:w="6515" w:type="dxa"/>
          </w:tcPr>
          <w:p w14:paraId="4DB36AEF" w14:textId="0543C15D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celkové investičné náklady počas udržiavania súčasného stavu v jednotlivých rokoch, ak sú plánované a nie sú uvádzané ako súčasť opráv.</w:t>
            </w:r>
          </w:p>
        </w:tc>
      </w:tr>
      <w:tr w:rsidR="00D43116" w:rsidRPr="00DC24AB" w14:paraId="7E781480" w14:textId="77777777" w:rsidTr="00375A13">
        <w:tc>
          <w:tcPr>
            <w:tcW w:w="2547" w:type="dxa"/>
          </w:tcPr>
          <w:p w14:paraId="41D72B70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Náklady na nákup tepla</w:t>
            </w:r>
          </w:p>
        </w:tc>
        <w:tc>
          <w:tcPr>
            <w:tcW w:w="6515" w:type="dxa"/>
          </w:tcPr>
          <w:p w14:paraId="76AA4DD0" w14:textId="24436A61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 xml:space="preserve">Uvedú sa celkové náklady na nákup tepla (v prípade, ak je žiadateľ výrobcom tepla, uvedú sa výrobné náklady). Pri množstve nakúpeného </w:t>
            </w:r>
            <w:r w:rsidRPr="00DC24AB">
              <w:rPr>
                <w:rFonts w:ascii="Arial Narrow" w:hAnsi="Arial Narrow" w:cs="Calibri"/>
                <w:color w:val="000000"/>
              </w:rPr>
              <w:lastRenderedPageBreak/>
              <w:t>tepla sa zohľadnia prípadné straty, ktoré môžu narastať prevádzkou pôvodného systému.</w:t>
            </w:r>
          </w:p>
        </w:tc>
      </w:tr>
      <w:tr w:rsidR="00D43116" w:rsidRPr="00DC24AB" w14:paraId="39AACB15" w14:textId="77777777" w:rsidTr="00375A13">
        <w:tc>
          <w:tcPr>
            <w:tcW w:w="2547" w:type="dxa"/>
          </w:tcPr>
          <w:p w14:paraId="5FB78116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lastRenderedPageBreak/>
              <w:t>Výnosy z predaja tepla</w:t>
            </w:r>
          </w:p>
        </w:tc>
        <w:tc>
          <w:tcPr>
            <w:tcW w:w="6515" w:type="dxa"/>
          </w:tcPr>
          <w:p w14:paraId="1DE01C4F" w14:textId="4BE0B23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celkové výnosy z predaja tepla (so záporným znamienkom). Množstvo predaného tepla sa určí podľa zmlúv o dodávke tepla alebo ako priemer predchádzajúcich troch kalendárnych rokov pred podaním žiadosti. Cena tepla sa použije v zmysle všeobecne záväzných právnych predpisov.</w:t>
            </w:r>
          </w:p>
        </w:tc>
      </w:tr>
      <w:tr w:rsidR="00D43116" w:rsidRPr="00DC24AB" w14:paraId="30185B0D" w14:textId="77777777" w:rsidTr="00375A13">
        <w:tc>
          <w:tcPr>
            <w:tcW w:w="2547" w:type="dxa"/>
          </w:tcPr>
          <w:p w14:paraId="683DA9EF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Mzdové a ostatné osobné náklady</w:t>
            </w:r>
          </w:p>
        </w:tc>
        <w:tc>
          <w:tcPr>
            <w:tcW w:w="6515" w:type="dxa"/>
          </w:tcPr>
          <w:p w14:paraId="20AD36B4" w14:textId="704C286B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celkové mzdové a ostatné osobné náklady zamestnancov, ktorí sa budú podieľať na prevádzke zariadení</w:t>
            </w:r>
            <w:r w:rsidR="002F6A46" w:rsidRPr="00DC24AB">
              <w:rPr>
                <w:rFonts w:ascii="Arial Narrow" w:hAnsi="Arial Narrow" w:cs="Calibri"/>
                <w:color w:val="000000"/>
              </w:rPr>
              <w:t>.</w:t>
            </w:r>
          </w:p>
        </w:tc>
      </w:tr>
      <w:tr w:rsidR="00D43116" w:rsidRPr="00DC24AB" w14:paraId="2681CDBC" w14:textId="77777777" w:rsidTr="00375A13">
        <w:tc>
          <w:tcPr>
            <w:tcW w:w="2547" w:type="dxa"/>
          </w:tcPr>
          <w:p w14:paraId="3169DC63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Náklady na opravy</w:t>
            </w:r>
          </w:p>
        </w:tc>
        <w:tc>
          <w:tcPr>
            <w:tcW w:w="6515" w:type="dxa"/>
          </w:tcPr>
          <w:p w14:paraId="45389390" w14:textId="5CF42C05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 xml:space="preserve">Uvedú sa predpokladané náklady na opravy v jednotlivých rokoch. </w:t>
            </w:r>
            <w:r w:rsidR="002F6A46" w:rsidRPr="00DC24AB">
              <w:rPr>
                <w:rFonts w:ascii="Arial Narrow" w:hAnsi="Arial Narrow" w:cs="Calibri"/>
                <w:color w:val="000000"/>
              </w:rPr>
              <w:t>Uvedú sa náklady na rozsiahlejšie práce ak neboli uvedené ako investičné náklady.</w:t>
            </w:r>
          </w:p>
        </w:tc>
      </w:tr>
      <w:tr w:rsidR="00D43116" w:rsidRPr="00DC24AB" w14:paraId="41DED94A" w14:textId="77777777" w:rsidTr="00375A13">
        <w:tc>
          <w:tcPr>
            <w:tcW w:w="2547" w:type="dxa"/>
          </w:tcPr>
          <w:p w14:paraId="5CBE77A4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Náklady na údržbu</w:t>
            </w:r>
          </w:p>
        </w:tc>
        <w:tc>
          <w:tcPr>
            <w:tcW w:w="6515" w:type="dxa"/>
          </w:tcPr>
          <w:p w14:paraId="1200C053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jc w:val="both"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predpokladané náklady na údržbu v jednotlivých rokoch.</w:t>
            </w:r>
          </w:p>
        </w:tc>
      </w:tr>
      <w:tr w:rsidR="00D43116" w:rsidRPr="00DC24AB" w14:paraId="23ED39C4" w14:textId="77777777" w:rsidTr="00375A13">
        <w:tc>
          <w:tcPr>
            <w:tcW w:w="2547" w:type="dxa"/>
          </w:tcPr>
          <w:p w14:paraId="1D42BB02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Náklady na ostatné služby</w:t>
            </w:r>
          </w:p>
        </w:tc>
        <w:tc>
          <w:tcPr>
            <w:tcW w:w="6515" w:type="dxa"/>
          </w:tcPr>
          <w:p w14:paraId="240D0E60" w14:textId="77777777" w:rsidR="00D43116" w:rsidRPr="00DC24AB" w:rsidRDefault="00D43116" w:rsidP="00DC24AB">
            <w:pPr>
              <w:pStyle w:val="xmsonormal"/>
              <w:spacing w:before="0" w:beforeAutospacing="0" w:after="0" w:afterAutospacing="0"/>
              <w:contextualSpacing/>
              <w:rPr>
                <w:rFonts w:ascii="Arial Narrow" w:hAnsi="Arial Narrow" w:cs="Calibri"/>
                <w:color w:val="000000"/>
              </w:rPr>
            </w:pPr>
            <w:r w:rsidRPr="00DC24AB">
              <w:rPr>
                <w:rFonts w:ascii="Arial Narrow" w:hAnsi="Arial Narrow" w:cs="Calibri"/>
                <w:color w:val="000000"/>
              </w:rPr>
              <w:t>Uvedú sa predpokladané náklady na ostatné služby, ktoré nie sú súčasťou investície, neboli uvedené ako súčasť údržby a súvisia s distribúciou tepla (napríklad revízie, overovanie hospodárnosti..).</w:t>
            </w:r>
          </w:p>
        </w:tc>
      </w:tr>
    </w:tbl>
    <w:p w14:paraId="5ECDD337" w14:textId="77777777" w:rsidR="00D43116" w:rsidRPr="00DC24AB" w:rsidRDefault="00D43116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color w:val="000000"/>
        </w:rPr>
      </w:pPr>
    </w:p>
    <w:p w14:paraId="0C58CFA0" w14:textId="2C8979C3" w:rsidR="002F6A46" w:rsidRPr="00DC24AB" w:rsidRDefault="00771E1F" w:rsidP="00DC24AB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 Narrow" w:hAnsi="Arial Narrow" w:cs="Calibri"/>
          <w:color w:val="000000"/>
        </w:rPr>
      </w:pPr>
      <w:r w:rsidRPr="00DC24AB">
        <w:rPr>
          <w:rFonts w:ascii="Arial Narrow" w:hAnsi="Arial Narrow" w:cs="Calibri"/>
          <w:color w:val="000000"/>
        </w:rPr>
        <w:t>Doba životnosti projektu a diskontná sadzba sú uvedené vo výzve. Diskontná sadzba sa mení približne raz za 6 mesiacov. Pri výpočte sa použije posledná aktuálna diskontná sadzba pred podaním žiadosti o dotáciu.</w:t>
      </w:r>
    </w:p>
    <w:sectPr w:rsidR="002F6A46" w:rsidRPr="00DC24AB" w:rsidSect="0057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60"/>
    <w:rsid w:val="00153D82"/>
    <w:rsid w:val="002F6A46"/>
    <w:rsid w:val="00421B4E"/>
    <w:rsid w:val="005621CC"/>
    <w:rsid w:val="00567415"/>
    <w:rsid w:val="00577A9A"/>
    <w:rsid w:val="00623C6F"/>
    <w:rsid w:val="00632DCE"/>
    <w:rsid w:val="00771E1F"/>
    <w:rsid w:val="00875137"/>
    <w:rsid w:val="009A6145"/>
    <w:rsid w:val="009C38E0"/>
    <w:rsid w:val="00A96045"/>
    <w:rsid w:val="00AE114E"/>
    <w:rsid w:val="00C13F40"/>
    <w:rsid w:val="00C519F3"/>
    <w:rsid w:val="00C90F2A"/>
    <w:rsid w:val="00D04CF6"/>
    <w:rsid w:val="00D43116"/>
    <w:rsid w:val="00D73E60"/>
    <w:rsid w:val="00DC24AB"/>
    <w:rsid w:val="00E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D36"/>
  <w15:chartTrackingRefBased/>
  <w15:docId w15:val="{826E2235-9C6E-404B-91EE-216A1BD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D7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C9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Kvetuska</dc:creator>
  <cp:keywords/>
  <dc:description/>
  <cp:lastModifiedBy>Person Peter</cp:lastModifiedBy>
  <cp:revision>7</cp:revision>
  <dcterms:created xsi:type="dcterms:W3CDTF">2024-04-14T14:16:00Z</dcterms:created>
  <dcterms:modified xsi:type="dcterms:W3CDTF">2024-04-16T13:23:00Z</dcterms:modified>
</cp:coreProperties>
</file>